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FC" w:rsidRPr="006D6AFC" w:rsidRDefault="006D6AFC" w:rsidP="006D6A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6D6A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Té con Kant</w:t>
      </w:r>
    </w:p>
    <w:p w:rsidR="006D6AFC" w:rsidRPr="006D6AFC" w:rsidRDefault="006D6AFC" w:rsidP="006D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Posted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6D6A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25 Agosto 2014</w:t>
      </w:r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6D6AFC" w:rsidRPr="006D6AFC" w:rsidRDefault="006D6AFC" w:rsidP="006D6A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6D6A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Luces, democracia, acción</w:t>
      </w:r>
      <w:proofErr w:type="gramStart"/>
      <w:r w:rsidRPr="006D6A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!</w:t>
      </w:r>
      <w:proofErr w:type="gramEnd"/>
    </w:p>
    <w:p w:rsidR="006D6AFC" w:rsidRPr="006D6AFC" w:rsidRDefault="006D6AFC" w:rsidP="006D6A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proofErr w:type="spellStart"/>
      <w:r w:rsidRPr="006D6AFC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Roi</w:t>
      </w:r>
      <w:proofErr w:type="spellEnd"/>
      <w:r w:rsidRPr="006D6AFC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Vidal Ponte</w:t>
      </w:r>
    </w:p>
    <w:p w:rsidR="006D6AFC" w:rsidRPr="006D6AFC" w:rsidRDefault="006D6AFC" w:rsidP="006D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6D6AFC" w:rsidRPr="006D6AFC" w:rsidRDefault="006D6AFC" w:rsidP="006D6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5562600" cy="3705225"/>
            <wp:effectExtent l="19050" t="0" r="0" b="0"/>
            <wp:docPr id="1" name="Imagen 1" descr="Té con Kant 1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é con Kant 1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Facer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participar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ás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destinatarias é un dos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clixés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 mundo contemporáneo.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Vémolo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nas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mensaxes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sobreimpresionadas dos programas televisivos e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nas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acampadas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nas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prazas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Movemento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Indignado. Tanto no Gran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Irmán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como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na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televisión á carta,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agora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é a audiencia a que decide.</w:t>
      </w:r>
    </w:p>
    <w:p w:rsidR="006D6AFC" w:rsidRPr="006D6AFC" w:rsidRDefault="006D6AFC" w:rsidP="006D6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teatro,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hai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xa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ben tempo que se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acabou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romper a cuarta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parede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que aceptamos a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frontalidade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a narración cara a cara.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Mais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poucas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veces coma en </w:t>
      </w:r>
      <w:r w:rsidRPr="006D6AF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Té con Kant</w:t>
      </w:r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relación entre escenario e público resulta tan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verdadeira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 non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só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porque a obra se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resolva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cunha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votación que decide o destino das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personaxes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traxedia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democrática que por si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soa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faría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obra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merecente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entrar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na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historia do teatro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galego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senón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porque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consegue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enganchar a audiencia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cun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material nada habitual: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unha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conferencia sobre filosofía.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Unha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peza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teatro didáctico que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mesmo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serviría para levar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aos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centros educativos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sen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ter que renunciar a esas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xeniais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reviravoltas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humor acedo e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superficialidade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provinciana que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axudan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que a lección non resulte aburrida.</w:t>
      </w:r>
    </w:p>
    <w:p w:rsidR="006D6AFC" w:rsidRPr="006D6AFC" w:rsidRDefault="006D6AFC" w:rsidP="006D6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É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moi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agradecer que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haxa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espectáculos que traten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ao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gram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publico</w:t>
      </w:r>
      <w:proofErr w:type="gram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coma se fose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intelixente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O nivel filosófico da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dramaturxia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Pr="006D6AF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Té con Kant </w:t>
      </w:r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é tan alto que a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sinopse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non resistiría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unha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primeira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criba de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querérmoslla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vender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aos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programadores do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circuíto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teatral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galego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e,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porén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algún atrevidos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acertan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ao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arriscar con esta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marabillosa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viaxe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tempo que afonda nos aspectos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máis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socialmente relevantes da filosofía kantiana e, por extensión, de toda a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modernidade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6D6AFC" w:rsidRPr="006D6AFC" w:rsidRDefault="006D6AFC" w:rsidP="006D6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 actrices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manexan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á perfección a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proximidade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nese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diálogo directo e constante coas espectadoras, actuando tan cómodas que se permiten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mesmo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improvisar en escena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sen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saír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personaxe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Semella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entraron até o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celme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desa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dialéctica entre o posible e o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desexable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entre o progreso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tecnolóxico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o moral que centra o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conflito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 obra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a fan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súa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transitar da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realidade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á ficción polos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camiños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comicidade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Porque a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dramaturxia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(un texto que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non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debería seguir un minuto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máis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sen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ser publicado) combina a inmersión historicista no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século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XVIII con lúcidas referencias á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máis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indignante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actualidade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diso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trata cando de teatro histórico se trata.</w:t>
      </w:r>
    </w:p>
    <w:p w:rsidR="006D6AFC" w:rsidRPr="006D6AFC" w:rsidRDefault="006D6AFC" w:rsidP="006D6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cadra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hai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contra o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terceiro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cuarto da representación, un descenso rítmico no que o espesor dos argumentos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expostos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chega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se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facer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algo pesado,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mais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certo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é que en todo momento se está a cocer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nas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cacholiñas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cada espectadora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unha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loita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dramática entre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unhas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posturas e as contrarias. É por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iso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a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proposta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pode ser vista como un paso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máis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alá do convencionalismo de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moito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teatro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posdramático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pois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renuncia (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ás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veces mediante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parodia) a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algunhas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das constantes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máis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superficiais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mesmo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tales como o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fragmentarismo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intertextualidade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danza de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corpos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espidos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Nin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sequera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aparte do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vestiario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época e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dalgún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elemento de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atrezzo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necesita da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espectacularidade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 visual para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agochar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eivas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 discurso, porque, por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unha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vez, de discurso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vai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sobrada.</w:t>
      </w:r>
    </w:p>
    <w:p w:rsidR="006D6AFC" w:rsidRPr="006D6AFC" w:rsidRDefault="006D6AFC" w:rsidP="006D6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Teatro, en definitiva, de ideas (teatro,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ao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cabo, político), nada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snobista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bastante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respectuoso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coa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intelixencia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(que aprenda o actual sistema educativo)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moi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divertido.</w:t>
      </w:r>
    </w:p>
    <w:p w:rsidR="006D6AFC" w:rsidRPr="006D6AFC" w:rsidRDefault="006D6AFC" w:rsidP="006D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6D6AFC" w:rsidRPr="006D6AFC" w:rsidRDefault="006D6AFC" w:rsidP="006D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D6A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Té con Kant</w:t>
      </w:r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María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Caparrini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Marta Pérez</w:t>
      </w:r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D6A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Dirección</w:t>
      </w:r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María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Caparrini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Marta Pérez</w:t>
      </w:r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D6A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Elenco</w:t>
      </w:r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: Marta Pérez e María Roja</w:t>
      </w:r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D6A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Creación plástica</w:t>
      </w:r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: María Roja</w:t>
      </w:r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D6A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Fotografía</w:t>
      </w:r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Leonor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Sangabriel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D6A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Edición de vídeo</w:t>
      </w:r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: María Crespo</w:t>
      </w:r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6D6A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Vestiario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Centro Dramático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Galego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D6A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Música</w:t>
      </w:r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Mozart,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Friederich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Nietszche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6D6A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Maquillaxe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: Inversa Teatro</w:t>
      </w:r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6D6A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Produción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es-ES"/>
        </w:rPr>
        <w:t>: Inversa Teatro</w:t>
      </w:r>
    </w:p>
    <w:p w:rsidR="006D6AFC" w:rsidRPr="006D6AFC" w:rsidRDefault="006D6AFC" w:rsidP="006D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D6A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Sala Ingrávida, </w:t>
      </w:r>
      <w:proofErr w:type="spellStart"/>
      <w:r w:rsidRPr="006D6A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Porriño</w:t>
      </w:r>
      <w:proofErr w:type="spellEnd"/>
      <w:r w:rsidRPr="006D6A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, 22 de agosto, 2014</w:t>
      </w:r>
    </w:p>
    <w:p w:rsidR="00852FBB" w:rsidRDefault="00852FBB"/>
    <w:sectPr w:rsidR="00852FBB" w:rsidSect="00852F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AFC"/>
    <w:rsid w:val="0007454A"/>
    <w:rsid w:val="002F283B"/>
    <w:rsid w:val="00317C10"/>
    <w:rsid w:val="00650033"/>
    <w:rsid w:val="006D6AFC"/>
    <w:rsid w:val="00852FBB"/>
    <w:rsid w:val="00CA3D2B"/>
    <w:rsid w:val="00EA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BB"/>
  </w:style>
  <w:style w:type="paragraph" w:styleId="Ttulo1">
    <w:name w:val="heading 1"/>
    <w:basedOn w:val="Normal"/>
    <w:link w:val="Ttulo1Car"/>
    <w:uiPriority w:val="9"/>
    <w:qFormat/>
    <w:rsid w:val="006D6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6D6A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6AF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D6AF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sep">
    <w:name w:val="sep"/>
    <w:basedOn w:val="Fuentedeprrafopredeter"/>
    <w:rsid w:val="006D6AFC"/>
  </w:style>
  <w:style w:type="character" w:styleId="Hipervnculo">
    <w:name w:val="Hyperlink"/>
    <w:basedOn w:val="Fuentedeprrafopredeter"/>
    <w:uiPriority w:val="99"/>
    <w:semiHidden/>
    <w:unhideWhenUsed/>
    <w:rsid w:val="006D6A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6D6AFC"/>
    <w:rPr>
      <w:i/>
      <w:iCs/>
    </w:rPr>
  </w:style>
  <w:style w:type="character" w:styleId="Textoennegrita">
    <w:name w:val="Strong"/>
    <w:basedOn w:val="Fuentedeprrafopredeter"/>
    <w:uiPriority w:val="22"/>
    <w:qFormat/>
    <w:rsid w:val="006D6AF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gtcritica.files.wordpress.com/2014/08/tc3a9-con-kant-11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López Silva</dc:creator>
  <cp:keywords/>
  <dc:description/>
  <cp:lastModifiedBy>López Silva</cp:lastModifiedBy>
  <cp:revision>1</cp:revision>
  <dcterms:created xsi:type="dcterms:W3CDTF">2014-08-25T17:35:00Z</dcterms:created>
  <dcterms:modified xsi:type="dcterms:W3CDTF">2014-08-25T17:42:00Z</dcterms:modified>
</cp:coreProperties>
</file>